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65BF6" w14:textId="77777777" w:rsidR="003B1D8B" w:rsidRDefault="003B1D8B" w:rsidP="007560A1">
      <w:pPr>
        <w:rPr>
          <w:rFonts w:ascii="Arial" w:hAnsi="Arial" w:cs="Arial"/>
          <w:b/>
          <w:szCs w:val="20"/>
          <w:u w:val="single"/>
        </w:rPr>
      </w:pPr>
    </w:p>
    <w:p w14:paraId="5362C2E9" w14:textId="77777777" w:rsidR="003B1D8B" w:rsidRDefault="003B1D8B" w:rsidP="007560A1">
      <w:pPr>
        <w:rPr>
          <w:rFonts w:ascii="Arial" w:hAnsi="Arial" w:cs="Arial"/>
          <w:b/>
          <w:szCs w:val="20"/>
          <w:u w:val="single"/>
        </w:rPr>
      </w:pPr>
    </w:p>
    <w:p w14:paraId="0EDC369F" w14:textId="77777777" w:rsidR="007560A1" w:rsidRPr="00E30E64" w:rsidRDefault="007560A1" w:rsidP="007560A1">
      <w:pPr>
        <w:rPr>
          <w:rFonts w:ascii="Arial" w:hAnsi="Arial" w:cs="Arial"/>
          <w:b/>
          <w:szCs w:val="20"/>
          <w:u w:val="single"/>
        </w:rPr>
      </w:pPr>
      <w:r w:rsidRPr="00E30E64">
        <w:rPr>
          <w:rFonts w:ascii="Arial" w:hAnsi="Arial" w:cs="Arial"/>
          <w:b/>
          <w:szCs w:val="20"/>
          <w:u w:val="single"/>
        </w:rPr>
        <w:t>DBE Utilization</w:t>
      </w:r>
    </w:p>
    <w:p w14:paraId="31281A4D" w14:textId="49ADF8BC" w:rsidR="007560A1" w:rsidRPr="00E40350" w:rsidRDefault="007560A1" w:rsidP="007560A1">
      <w:pPr>
        <w:jc w:val="both"/>
        <w:rPr>
          <w:rFonts w:ascii="Arial" w:hAnsi="Arial" w:cs="Arial"/>
          <w:sz w:val="20"/>
          <w:szCs w:val="20"/>
        </w:rPr>
      </w:pPr>
      <w:r w:rsidRPr="00E40350">
        <w:rPr>
          <w:rFonts w:ascii="Arial" w:hAnsi="Arial" w:cs="Arial"/>
          <w:sz w:val="20"/>
          <w:szCs w:val="20"/>
        </w:rPr>
        <w:t xml:space="preserve">The Department began its DBE race neutral program January 1, 2000.  </w:t>
      </w:r>
      <w:r w:rsidRPr="00E40350">
        <w:rPr>
          <w:rFonts w:ascii="Arial" w:hAnsi="Arial" w:cs="Arial"/>
          <w:b/>
          <w:sz w:val="20"/>
          <w:szCs w:val="20"/>
        </w:rPr>
        <w:t>Contract specific goals are not placed on Federal/State contracts;</w:t>
      </w:r>
      <w:r w:rsidRPr="00E40350">
        <w:rPr>
          <w:rFonts w:ascii="Arial" w:hAnsi="Arial" w:cs="Arial"/>
          <w:sz w:val="20"/>
          <w:szCs w:val="20"/>
        </w:rPr>
        <w:t xml:space="preserve"> however, the Department has an overall </w:t>
      </w:r>
      <w:r w:rsidR="00F62B1D" w:rsidRPr="000708E7">
        <w:rPr>
          <w:rFonts w:ascii="Arial" w:hAnsi="Arial" w:cs="Arial"/>
          <w:sz w:val="20"/>
          <w:szCs w:val="20"/>
        </w:rPr>
        <w:t>10.</w:t>
      </w:r>
      <w:r w:rsidR="00824ADB" w:rsidRPr="000708E7">
        <w:rPr>
          <w:rFonts w:ascii="Arial" w:hAnsi="Arial" w:cs="Arial"/>
          <w:sz w:val="20"/>
          <w:szCs w:val="20"/>
        </w:rPr>
        <w:t>54</w:t>
      </w:r>
      <w:r w:rsidRPr="000708E7">
        <w:rPr>
          <w:rFonts w:ascii="Arial" w:hAnsi="Arial" w:cs="Arial"/>
          <w:sz w:val="20"/>
          <w:szCs w:val="20"/>
        </w:rPr>
        <w:t>%</w:t>
      </w:r>
      <w:r w:rsidRPr="00E40350">
        <w:rPr>
          <w:rFonts w:ascii="Arial" w:hAnsi="Arial" w:cs="Arial"/>
          <w:sz w:val="20"/>
          <w:szCs w:val="20"/>
        </w:rPr>
        <w:t xml:space="preserve"> DBE goal it must achieve.  </w:t>
      </w:r>
      <w:proofErr w:type="gramStart"/>
      <w:r w:rsidRPr="00E40350">
        <w:rPr>
          <w:rFonts w:ascii="Arial" w:hAnsi="Arial" w:cs="Arial"/>
          <w:sz w:val="20"/>
          <w:szCs w:val="20"/>
        </w:rPr>
        <w:t>In order to</w:t>
      </w:r>
      <w:proofErr w:type="gramEnd"/>
      <w:r w:rsidRPr="00E40350">
        <w:rPr>
          <w:rFonts w:ascii="Arial" w:hAnsi="Arial" w:cs="Arial"/>
          <w:sz w:val="20"/>
          <w:szCs w:val="20"/>
        </w:rPr>
        <w:t xml:space="preserve"> assist contractors in determining their DBE commitment level, the Department has reviewed the estimates for this </w:t>
      </w:r>
      <w:proofErr w:type="gramStart"/>
      <w:r w:rsidRPr="00E40350">
        <w:rPr>
          <w:rFonts w:ascii="Arial" w:hAnsi="Arial" w:cs="Arial"/>
          <w:sz w:val="20"/>
          <w:szCs w:val="20"/>
        </w:rPr>
        <w:t>letting</w:t>
      </w:r>
      <w:proofErr w:type="gramEnd"/>
      <w:r w:rsidRPr="00E40350">
        <w:rPr>
          <w:rFonts w:ascii="Arial" w:hAnsi="Arial" w:cs="Arial"/>
          <w:sz w:val="20"/>
          <w:szCs w:val="20"/>
        </w:rPr>
        <w:t>.</w:t>
      </w:r>
    </w:p>
    <w:p w14:paraId="6A85B9B6" w14:textId="77777777" w:rsidR="007560A1" w:rsidRPr="00E40350" w:rsidRDefault="007560A1" w:rsidP="007560A1">
      <w:pPr>
        <w:jc w:val="both"/>
        <w:rPr>
          <w:rFonts w:ascii="Arial" w:hAnsi="Arial" w:cs="Arial"/>
          <w:sz w:val="20"/>
          <w:szCs w:val="20"/>
        </w:rPr>
      </w:pPr>
    </w:p>
    <w:p w14:paraId="27326EBC" w14:textId="5F9E8CA1" w:rsidR="007560A1" w:rsidRPr="00E40350" w:rsidRDefault="007560A1" w:rsidP="007560A1">
      <w:pPr>
        <w:jc w:val="both"/>
        <w:rPr>
          <w:rFonts w:ascii="Arial" w:hAnsi="Arial" w:cs="Arial"/>
          <w:sz w:val="20"/>
          <w:szCs w:val="20"/>
        </w:rPr>
      </w:pPr>
      <w:r w:rsidRPr="00E40350">
        <w:rPr>
          <w:rFonts w:ascii="Arial" w:hAnsi="Arial" w:cs="Arial"/>
          <w:sz w:val="20"/>
          <w:szCs w:val="20"/>
        </w:rPr>
        <w:t xml:space="preserve">As you prepare your bid, please monitor potential or anticipated DBE utilization for contracts.  When the low bidder executes the contract with the Department, information will be requested of the contractor’s DBE participation </w:t>
      </w:r>
      <w:proofErr w:type="gramStart"/>
      <w:r w:rsidRPr="00E40350">
        <w:rPr>
          <w:rFonts w:ascii="Arial" w:hAnsi="Arial" w:cs="Arial"/>
          <w:sz w:val="20"/>
          <w:szCs w:val="20"/>
        </w:rPr>
        <w:t>for</w:t>
      </w:r>
      <w:proofErr w:type="gramEnd"/>
      <w:r w:rsidRPr="00E40350">
        <w:rPr>
          <w:rFonts w:ascii="Arial" w:hAnsi="Arial" w:cs="Arial"/>
          <w:sz w:val="20"/>
          <w:szCs w:val="20"/>
        </w:rPr>
        <w:t xml:space="preserve"> the project.  While the utilization is not mandatory in order to be awarded the project, continuing utilization of DBE firms on contracts supports the success of Florida’s DBE </w:t>
      </w:r>
      <w:proofErr w:type="gramStart"/>
      <w:r w:rsidRPr="00E40350">
        <w:rPr>
          <w:rFonts w:ascii="Arial" w:hAnsi="Arial" w:cs="Arial"/>
          <w:sz w:val="20"/>
          <w:szCs w:val="20"/>
        </w:rPr>
        <w:t>Program,</w:t>
      </w:r>
      <w:r w:rsidR="00824ADB">
        <w:rPr>
          <w:rFonts w:ascii="Arial" w:hAnsi="Arial" w:cs="Arial"/>
          <w:sz w:val="20"/>
          <w:szCs w:val="20"/>
        </w:rPr>
        <w:t xml:space="preserve"> </w:t>
      </w:r>
      <w:r w:rsidRPr="00E40350">
        <w:rPr>
          <w:rFonts w:ascii="Arial" w:hAnsi="Arial" w:cs="Arial"/>
          <w:sz w:val="20"/>
          <w:szCs w:val="20"/>
        </w:rPr>
        <w:t>and</w:t>
      </w:r>
      <w:proofErr w:type="gramEnd"/>
      <w:r w:rsidRPr="00E40350">
        <w:rPr>
          <w:rFonts w:ascii="Arial" w:hAnsi="Arial" w:cs="Arial"/>
          <w:sz w:val="20"/>
          <w:szCs w:val="20"/>
        </w:rPr>
        <w:t xml:space="preserve"> supports contractors’ Equal Employment Opportunity and DBE Affirmative Action Programs.</w:t>
      </w:r>
    </w:p>
    <w:p w14:paraId="54CEE030" w14:textId="77777777" w:rsidR="007560A1" w:rsidRPr="00E40350" w:rsidRDefault="007560A1" w:rsidP="007560A1">
      <w:pPr>
        <w:jc w:val="both"/>
        <w:rPr>
          <w:rFonts w:ascii="Arial" w:hAnsi="Arial" w:cs="Arial"/>
          <w:sz w:val="20"/>
          <w:szCs w:val="20"/>
        </w:rPr>
      </w:pPr>
    </w:p>
    <w:p w14:paraId="1F7B6CA1" w14:textId="77777777" w:rsidR="007560A1" w:rsidRPr="00E40350" w:rsidRDefault="007560A1" w:rsidP="007560A1">
      <w:pPr>
        <w:jc w:val="both"/>
        <w:rPr>
          <w:rFonts w:ascii="Arial" w:hAnsi="Arial" w:cs="Arial"/>
          <w:sz w:val="20"/>
          <w:szCs w:val="20"/>
        </w:rPr>
      </w:pPr>
      <w:r w:rsidRPr="00E40350">
        <w:rPr>
          <w:rFonts w:ascii="Arial" w:hAnsi="Arial" w:cs="Arial"/>
          <w:sz w:val="20"/>
          <w:szCs w:val="20"/>
        </w:rPr>
        <w:t xml:space="preserve">Any project listed as 0% DBE availability does not mean that a DBE may not be used on that project.  A 0% DBE availability may have been established due to any of the following reasons: limited identified subcontracting opportunities, minimal contract days, and/or small contract dollar amount.  Contractors are encouraged to identify any opportunities to subcontract to DBE’s. </w:t>
      </w:r>
    </w:p>
    <w:p w14:paraId="5D031223" w14:textId="77777777" w:rsidR="007560A1" w:rsidRPr="00E40350" w:rsidRDefault="007560A1" w:rsidP="007560A1">
      <w:pPr>
        <w:jc w:val="both"/>
        <w:rPr>
          <w:rFonts w:ascii="Arial" w:hAnsi="Arial" w:cs="Arial"/>
          <w:sz w:val="20"/>
          <w:szCs w:val="20"/>
        </w:rPr>
      </w:pPr>
    </w:p>
    <w:p w14:paraId="59DBA4A7" w14:textId="77777777" w:rsidR="007560A1" w:rsidRDefault="007560A1" w:rsidP="007560A1">
      <w:pPr>
        <w:rPr>
          <w:rFonts w:ascii="Arial" w:hAnsi="Arial" w:cs="Arial"/>
          <w:b/>
          <w:sz w:val="20"/>
          <w:szCs w:val="20"/>
          <w:u w:val="single"/>
        </w:rPr>
      </w:pPr>
      <w:r w:rsidRPr="00E40350">
        <w:rPr>
          <w:rFonts w:ascii="Arial" w:hAnsi="Arial" w:cs="Arial"/>
          <w:sz w:val="20"/>
          <w:szCs w:val="20"/>
        </w:rPr>
        <w:t xml:space="preserve">Please contact the Equal Opportunity Office at (850) 414-4747 if you have any questions regarding this </w:t>
      </w:r>
      <w:r w:rsidR="00F03B13">
        <w:rPr>
          <w:rFonts w:ascii="Arial" w:hAnsi="Arial" w:cs="Arial"/>
          <w:sz w:val="20"/>
          <w:szCs w:val="20"/>
        </w:rPr>
        <w:t>i</w:t>
      </w:r>
      <w:r w:rsidRPr="00E40350">
        <w:rPr>
          <w:rFonts w:ascii="Arial" w:hAnsi="Arial" w:cs="Arial"/>
          <w:sz w:val="20"/>
          <w:szCs w:val="20"/>
        </w:rPr>
        <w:t>nformation.</w:t>
      </w:r>
      <w:r w:rsidR="003B1D8B">
        <w:rPr>
          <w:rFonts w:ascii="Arial" w:hAnsi="Arial" w:cs="Arial"/>
          <w:sz w:val="20"/>
          <w:szCs w:val="20"/>
        </w:rPr>
        <w:t xml:space="preserve">  </w:t>
      </w:r>
    </w:p>
    <w:p w14:paraId="5A486FA3" w14:textId="77777777" w:rsidR="007560A1" w:rsidRDefault="007560A1" w:rsidP="007560A1">
      <w:pPr>
        <w:rPr>
          <w:rFonts w:ascii="Arial" w:hAnsi="Arial" w:cs="Arial"/>
          <w:b/>
          <w:szCs w:val="20"/>
          <w:u w:val="single"/>
        </w:rPr>
      </w:pPr>
    </w:p>
    <w:p w14:paraId="27EF994E" w14:textId="77777777" w:rsidR="007560A1" w:rsidRPr="00E30E64" w:rsidRDefault="007560A1" w:rsidP="007560A1">
      <w:pPr>
        <w:rPr>
          <w:rFonts w:ascii="Arial" w:hAnsi="Arial" w:cs="Arial"/>
          <w:b/>
          <w:szCs w:val="20"/>
          <w:u w:val="single"/>
        </w:rPr>
      </w:pPr>
      <w:r w:rsidRPr="00E30E64">
        <w:rPr>
          <w:rFonts w:ascii="Arial" w:hAnsi="Arial" w:cs="Arial"/>
          <w:b/>
          <w:szCs w:val="20"/>
          <w:u w:val="single"/>
        </w:rPr>
        <w:t>DBE Reporting</w:t>
      </w:r>
    </w:p>
    <w:p w14:paraId="2DD91E0D" w14:textId="77777777" w:rsidR="007560A1" w:rsidRPr="00626FDA" w:rsidRDefault="007560A1" w:rsidP="007560A1">
      <w:pPr>
        <w:jc w:val="both"/>
        <w:rPr>
          <w:rFonts w:ascii="Arial" w:hAnsi="Arial" w:cs="Arial"/>
          <w:sz w:val="20"/>
          <w:szCs w:val="20"/>
        </w:rPr>
      </w:pPr>
      <w:r w:rsidRPr="00626FDA">
        <w:rPr>
          <w:rFonts w:ascii="Arial" w:hAnsi="Arial" w:cs="Arial"/>
          <w:sz w:val="20"/>
          <w:szCs w:val="20"/>
        </w:rPr>
        <w:t xml:space="preserve">If you are the prime contractor on a project, </w:t>
      </w:r>
      <w:r w:rsidR="007D0F4B">
        <w:rPr>
          <w:rFonts w:ascii="Arial" w:hAnsi="Arial" w:cs="Arial"/>
          <w:sz w:val="20"/>
          <w:szCs w:val="20"/>
        </w:rPr>
        <w:t xml:space="preserve">enter your DBE participation in the Equal </w:t>
      </w:r>
      <w:r w:rsidRPr="00626FDA">
        <w:rPr>
          <w:rFonts w:ascii="Arial" w:hAnsi="Arial" w:cs="Arial"/>
          <w:sz w:val="20"/>
          <w:szCs w:val="20"/>
        </w:rPr>
        <w:t xml:space="preserve">Opportunity Compliance system </w:t>
      </w:r>
      <w:r w:rsidR="007D0F4B">
        <w:rPr>
          <w:rFonts w:ascii="Arial" w:hAnsi="Arial" w:cs="Arial"/>
          <w:sz w:val="20"/>
          <w:szCs w:val="20"/>
        </w:rPr>
        <w:t xml:space="preserve">prior to </w:t>
      </w:r>
      <w:r w:rsidRPr="00626FDA">
        <w:rPr>
          <w:rFonts w:ascii="Arial" w:hAnsi="Arial" w:cs="Arial"/>
          <w:sz w:val="20"/>
          <w:szCs w:val="20"/>
        </w:rPr>
        <w:t>the pre-construction</w:t>
      </w:r>
      <w:r>
        <w:rPr>
          <w:rFonts w:ascii="Arial" w:hAnsi="Arial" w:cs="Arial"/>
          <w:sz w:val="20"/>
          <w:szCs w:val="20"/>
        </w:rPr>
        <w:t xml:space="preserve"> or pre-work conference</w:t>
      </w:r>
      <w:r w:rsidRPr="00626FDA">
        <w:rPr>
          <w:rFonts w:ascii="Arial" w:hAnsi="Arial" w:cs="Arial"/>
          <w:sz w:val="20"/>
          <w:szCs w:val="20"/>
        </w:rPr>
        <w:t xml:space="preserve"> for all federal and state funded projects.  This </w:t>
      </w:r>
      <w:r w:rsidRPr="00626FDA">
        <w:rPr>
          <w:rFonts w:ascii="Arial" w:hAnsi="Arial" w:cs="Arial"/>
          <w:b/>
          <w:sz w:val="20"/>
          <w:szCs w:val="20"/>
        </w:rPr>
        <w:t xml:space="preserve">will not </w:t>
      </w:r>
      <w:r w:rsidRPr="00626FDA">
        <w:rPr>
          <w:rFonts w:ascii="Arial" w:hAnsi="Arial" w:cs="Arial"/>
          <w:sz w:val="20"/>
          <w:szCs w:val="20"/>
        </w:rPr>
        <w:t xml:space="preserve">become a mandatory part of the contract.  It will assist the Department in tracking and reporting planned or estimated DBE utilization.  </w:t>
      </w:r>
      <w:r w:rsidRPr="00626FDA">
        <w:rPr>
          <w:rFonts w:ascii="Arial" w:hAnsi="Arial" w:cs="Arial"/>
          <w:sz w:val="20"/>
          <w:szCs w:val="20"/>
          <w:u w:val="single"/>
        </w:rPr>
        <w:t>During</w:t>
      </w:r>
      <w:r w:rsidRPr="00626FDA">
        <w:rPr>
          <w:rFonts w:ascii="Arial" w:hAnsi="Arial" w:cs="Arial"/>
          <w:sz w:val="20"/>
          <w:szCs w:val="20"/>
        </w:rPr>
        <w:t xml:space="preserve"> the </w:t>
      </w:r>
      <w:r w:rsidRPr="00626FDA">
        <w:rPr>
          <w:rFonts w:ascii="Arial" w:hAnsi="Arial" w:cs="Arial"/>
          <w:sz w:val="20"/>
          <w:szCs w:val="20"/>
          <w:u w:val="single"/>
        </w:rPr>
        <w:t>contract,</w:t>
      </w:r>
      <w:r w:rsidRPr="00626FDA">
        <w:rPr>
          <w:rFonts w:ascii="Arial" w:hAnsi="Arial" w:cs="Arial"/>
          <w:sz w:val="20"/>
          <w:szCs w:val="20"/>
        </w:rPr>
        <w:t xml:space="preserve"> the prime contractor is required to report actual payments to DBE and MBE</w:t>
      </w:r>
      <w:r w:rsidRPr="00626FDA">
        <w:rPr>
          <w:rFonts w:ascii="Arial" w:hAnsi="Arial" w:cs="Arial"/>
          <w:b/>
          <w:sz w:val="20"/>
          <w:szCs w:val="20"/>
        </w:rPr>
        <w:t xml:space="preserve"> </w:t>
      </w:r>
      <w:r w:rsidRPr="00626FDA">
        <w:rPr>
          <w:rFonts w:ascii="Arial" w:hAnsi="Arial" w:cs="Arial"/>
          <w:sz w:val="20"/>
          <w:szCs w:val="20"/>
        </w:rPr>
        <w:t>subcontractors through the web-based Equal Opportunity Compliance (EOC) system.</w:t>
      </w:r>
    </w:p>
    <w:p w14:paraId="7D62B4F5" w14:textId="77777777" w:rsidR="007560A1" w:rsidRDefault="007560A1" w:rsidP="007560A1">
      <w:pPr>
        <w:jc w:val="both"/>
        <w:rPr>
          <w:rFonts w:ascii="Arial" w:hAnsi="Arial" w:cs="Arial"/>
          <w:sz w:val="20"/>
          <w:szCs w:val="20"/>
        </w:rPr>
      </w:pPr>
    </w:p>
    <w:p w14:paraId="4EC50BD8" w14:textId="77777777" w:rsidR="007560A1" w:rsidRPr="00626FDA" w:rsidRDefault="007560A1" w:rsidP="007560A1">
      <w:pPr>
        <w:jc w:val="both"/>
        <w:rPr>
          <w:rFonts w:ascii="Arial" w:hAnsi="Arial" w:cs="Arial"/>
          <w:sz w:val="20"/>
          <w:szCs w:val="20"/>
        </w:rPr>
      </w:pPr>
      <w:r w:rsidRPr="00626FDA">
        <w:rPr>
          <w:rFonts w:ascii="Arial" w:hAnsi="Arial" w:cs="Arial"/>
          <w:sz w:val="20"/>
          <w:szCs w:val="20"/>
        </w:rPr>
        <w:t xml:space="preserve">All DBE payments must be reported </w:t>
      </w:r>
      <w:proofErr w:type="gramStart"/>
      <w:r w:rsidRPr="00626FDA">
        <w:rPr>
          <w:rFonts w:ascii="Arial" w:hAnsi="Arial" w:cs="Arial"/>
          <w:sz w:val="20"/>
          <w:szCs w:val="20"/>
        </w:rPr>
        <w:t>whether or not</w:t>
      </w:r>
      <w:proofErr w:type="gramEnd"/>
      <w:r w:rsidRPr="00626FDA">
        <w:rPr>
          <w:rFonts w:ascii="Arial" w:hAnsi="Arial" w:cs="Arial"/>
          <w:sz w:val="20"/>
          <w:szCs w:val="20"/>
        </w:rPr>
        <w:t xml:space="preserve"> you initially planned to utilize the company.  </w:t>
      </w:r>
      <w:proofErr w:type="gramStart"/>
      <w:r w:rsidRPr="00626FDA">
        <w:rPr>
          <w:rFonts w:ascii="Arial" w:hAnsi="Arial" w:cs="Arial"/>
          <w:sz w:val="20"/>
          <w:szCs w:val="20"/>
        </w:rPr>
        <w:t>In order for</w:t>
      </w:r>
      <w:proofErr w:type="gramEnd"/>
      <w:r w:rsidRPr="00626FDA">
        <w:rPr>
          <w:rFonts w:ascii="Arial" w:hAnsi="Arial" w:cs="Arial"/>
          <w:sz w:val="20"/>
          <w:szCs w:val="20"/>
        </w:rPr>
        <w:t xml:space="preserve"> our race neutral DBE Program to be successful, your cooperation is imperative.  If you have any questions, please contact EOOHelp@dot.state.fl.us.</w:t>
      </w:r>
    </w:p>
    <w:p w14:paraId="78644C96" w14:textId="77777777" w:rsidR="007560A1" w:rsidRPr="00626FDA" w:rsidRDefault="007560A1" w:rsidP="007560A1">
      <w:pPr>
        <w:rPr>
          <w:rFonts w:ascii="Arial" w:hAnsi="Arial" w:cs="Arial"/>
          <w:sz w:val="20"/>
          <w:szCs w:val="20"/>
        </w:rPr>
      </w:pPr>
    </w:p>
    <w:p w14:paraId="3ADAFEA5" w14:textId="77777777" w:rsidR="007560A1" w:rsidRDefault="007560A1" w:rsidP="007560A1">
      <w:pPr>
        <w:rPr>
          <w:rFonts w:ascii="Arial" w:hAnsi="Arial" w:cs="Arial"/>
          <w:b/>
          <w:szCs w:val="20"/>
          <w:u w:val="single"/>
        </w:rPr>
      </w:pPr>
    </w:p>
    <w:p w14:paraId="7E67C5FF" w14:textId="77777777" w:rsidR="007560A1" w:rsidRPr="00626FDA" w:rsidRDefault="007560A1" w:rsidP="007560A1">
      <w:pPr>
        <w:rPr>
          <w:rFonts w:ascii="Arial" w:hAnsi="Arial" w:cs="Arial"/>
          <w:b/>
          <w:szCs w:val="20"/>
          <w:u w:val="single"/>
        </w:rPr>
      </w:pPr>
      <w:r w:rsidRPr="00626FDA">
        <w:rPr>
          <w:rFonts w:ascii="Arial" w:hAnsi="Arial" w:cs="Arial"/>
          <w:b/>
          <w:szCs w:val="20"/>
          <w:u w:val="single"/>
        </w:rPr>
        <w:t>Bid Opportunity List</w:t>
      </w:r>
    </w:p>
    <w:p w14:paraId="6E23C178" w14:textId="77777777" w:rsidR="007560A1" w:rsidRPr="00626FDA" w:rsidRDefault="007560A1" w:rsidP="007560A1">
      <w:pPr>
        <w:jc w:val="both"/>
        <w:rPr>
          <w:rFonts w:ascii="Arial" w:hAnsi="Arial" w:cs="Arial"/>
          <w:b/>
          <w:sz w:val="20"/>
          <w:szCs w:val="20"/>
        </w:rPr>
      </w:pPr>
      <w:r w:rsidRPr="00626FDA">
        <w:rPr>
          <w:rFonts w:ascii="Arial" w:hAnsi="Arial" w:cs="Arial"/>
          <w:sz w:val="20"/>
          <w:szCs w:val="20"/>
        </w:rPr>
        <w:t xml:space="preserve">The Federal DBE Program requires States to maintain a database of all firms that are participating or attempting to participate </w:t>
      </w:r>
      <w:proofErr w:type="gramStart"/>
      <w:r w:rsidRPr="00626FDA">
        <w:rPr>
          <w:rFonts w:ascii="Arial" w:hAnsi="Arial" w:cs="Arial"/>
          <w:sz w:val="20"/>
          <w:szCs w:val="20"/>
        </w:rPr>
        <w:t>on</w:t>
      </w:r>
      <w:proofErr w:type="gramEnd"/>
      <w:r w:rsidRPr="00626FDA">
        <w:rPr>
          <w:rFonts w:ascii="Arial" w:hAnsi="Arial" w:cs="Arial"/>
          <w:sz w:val="20"/>
          <w:szCs w:val="20"/>
        </w:rPr>
        <w:t xml:space="preserve"> FDOT-assisted contracts.  The list must include all firms that bid on prime contracts or bid or quote subcontracts on FDOT-assisted projects, including both </w:t>
      </w:r>
      <w:r w:rsidRPr="00626FDA">
        <w:rPr>
          <w:rFonts w:ascii="Arial" w:hAnsi="Arial" w:cs="Arial"/>
          <w:b/>
          <w:sz w:val="20"/>
          <w:szCs w:val="20"/>
        </w:rPr>
        <w:t xml:space="preserve">DBE’s and non-DBEs. </w:t>
      </w:r>
    </w:p>
    <w:p w14:paraId="6CC1FFEB" w14:textId="77777777" w:rsidR="007560A1" w:rsidRPr="00626FDA" w:rsidRDefault="007560A1" w:rsidP="007560A1">
      <w:pPr>
        <w:jc w:val="both"/>
        <w:rPr>
          <w:rFonts w:ascii="Arial" w:hAnsi="Arial" w:cs="Arial"/>
          <w:b/>
          <w:sz w:val="20"/>
          <w:szCs w:val="20"/>
        </w:rPr>
      </w:pPr>
    </w:p>
    <w:p w14:paraId="6983C6CA" w14:textId="77777777" w:rsidR="007560A1" w:rsidRDefault="007560A1" w:rsidP="007560A1">
      <w:pPr>
        <w:rPr>
          <w:rFonts w:ascii="Arial" w:hAnsi="Arial" w:cs="Arial"/>
          <w:sz w:val="20"/>
          <w:szCs w:val="20"/>
        </w:rPr>
      </w:pPr>
      <w:r w:rsidRPr="00626FDA">
        <w:rPr>
          <w:rFonts w:ascii="Arial" w:hAnsi="Arial" w:cs="Arial"/>
          <w:sz w:val="20"/>
          <w:szCs w:val="20"/>
        </w:rPr>
        <w:t>Please complete the Bidders Opportunity List through the Equal Opportunity Compliance system within 3 business</w:t>
      </w:r>
      <w:r>
        <w:rPr>
          <w:rFonts w:ascii="Arial" w:hAnsi="Arial" w:cs="Arial"/>
          <w:sz w:val="20"/>
          <w:szCs w:val="20"/>
        </w:rPr>
        <w:t xml:space="preserve"> days</w:t>
      </w:r>
      <w:r w:rsidRPr="00626FDA">
        <w:rPr>
          <w:rFonts w:ascii="Arial" w:hAnsi="Arial" w:cs="Arial"/>
          <w:sz w:val="20"/>
          <w:szCs w:val="20"/>
        </w:rPr>
        <w:t xml:space="preserve"> of submission of the bid</w:t>
      </w:r>
      <w:r>
        <w:rPr>
          <w:rFonts w:ascii="Arial" w:hAnsi="Arial" w:cs="Arial"/>
          <w:sz w:val="20"/>
          <w:szCs w:val="20"/>
        </w:rPr>
        <w:t xml:space="preserve"> or </w:t>
      </w:r>
      <w:r w:rsidRPr="00626FDA">
        <w:rPr>
          <w:rFonts w:ascii="Arial" w:hAnsi="Arial" w:cs="Arial"/>
          <w:sz w:val="20"/>
          <w:szCs w:val="20"/>
        </w:rPr>
        <w:t xml:space="preserve">proposal for ALL subcontractors or sub-consultants who quoted to you for specific project for this letting.  The web address to the Equal Opportunity Compliance </w:t>
      </w:r>
      <w:r>
        <w:rPr>
          <w:rFonts w:ascii="Arial" w:hAnsi="Arial" w:cs="Arial"/>
          <w:sz w:val="20"/>
          <w:szCs w:val="20"/>
        </w:rPr>
        <w:t>s</w:t>
      </w:r>
      <w:r w:rsidRPr="00626FDA">
        <w:rPr>
          <w:rFonts w:ascii="Arial" w:hAnsi="Arial" w:cs="Arial"/>
          <w:sz w:val="20"/>
          <w:szCs w:val="20"/>
        </w:rPr>
        <w:t>ystem is</w:t>
      </w:r>
      <w:r w:rsidR="003B1D8B">
        <w:rPr>
          <w:rFonts w:ascii="Arial" w:hAnsi="Arial" w:cs="Arial"/>
          <w:sz w:val="20"/>
          <w:szCs w:val="20"/>
        </w:rPr>
        <w:t>:</w:t>
      </w:r>
      <w:r w:rsidRPr="00626FDA">
        <w:rPr>
          <w:rFonts w:ascii="Arial" w:hAnsi="Arial" w:cs="Arial"/>
          <w:sz w:val="20"/>
          <w:szCs w:val="20"/>
        </w:rPr>
        <w:t xml:space="preserve"> </w:t>
      </w:r>
      <w:hyperlink r:id="rId12" w:history="1">
        <w:r w:rsidR="003C2F19">
          <w:rPr>
            <w:rStyle w:val="Hyperlink"/>
            <w:rFonts w:ascii="Arial" w:hAnsi="Arial" w:cs="Arial"/>
            <w:sz w:val="20"/>
            <w:szCs w:val="20"/>
          </w:rPr>
          <w:t>https://www.fdot.gov/equalopportunity/eoc.shtm</w:t>
        </w:r>
      </w:hyperlink>
      <w:r w:rsidRPr="00626FDA">
        <w:rPr>
          <w:rFonts w:ascii="Arial" w:hAnsi="Arial" w:cs="Arial"/>
          <w:sz w:val="20"/>
          <w:szCs w:val="20"/>
        </w:rPr>
        <w:t>.</w:t>
      </w:r>
    </w:p>
    <w:p w14:paraId="7F6E2D4A" w14:textId="77777777" w:rsidR="007560A1" w:rsidRDefault="007560A1" w:rsidP="007560A1">
      <w:pPr>
        <w:rPr>
          <w:rFonts w:ascii="Arial" w:hAnsi="Arial" w:cs="Arial"/>
          <w:sz w:val="20"/>
          <w:szCs w:val="20"/>
        </w:rPr>
      </w:pPr>
    </w:p>
    <w:p w14:paraId="40CC5E07" w14:textId="77777777" w:rsidR="00F03B13" w:rsidRDefault="007560A1" w:rsidP="007560A1">
      <w:pPr>
        <w:rPr>
          <w:rFonts w:ascii="Arial" w:hAnsi="Arial" w:cs="Arial"/>
          <w:b/>
          <w:szCs w:val="20"/>
          <w:u w:val="single"/>
        </w:rPr>
      </w:pPr>
      <w:r>
        <w:rPr>
          <w:rFonts w:ascii="Arial" w:hAnsi="Arial" w:cs="Arial"/>
          <w:b/>
          <w:szCs w:val="20"/>
          <w:u w:val="single"/>
        </w:rPr>
        <w:br w:type="page"/>
      </w:r>
    </w:p>
    <w:p w14:paraId="7B400CFA" w14:textId="77777777" w:rsidR="007560A1" w:rsidRPr="00E30E64" w:rsidRDefault="007560A1" w:rsidP="007560A1">
      <w:pPr>
        <w:rPr>
          <w:rFonts w:ascii="Arial" w:hAnsi="Arial" w:cs="Arial"/>
          <w:b/>
          <w:szCs w:val="20"/>
          <w:u w:val="single"/>
        </w:rPr>
      </w:pPr>
      <w:r w:rsidRPr="00E30E64">
        <w:rPr>
          <w:rFonts w:ascii="Arial" w:hAnsi="Arial" w:cs="Arial"/>
          <w:b/>
          <w:szCs w:val="20"/>
          <w:u w:val="single"/>
        </w:rPr>
        <w:lastRenderedPageBreak/>
        <w:t>DBE/AA Plans</w:t>
      </w:r>
    </w:p>
    <w:p w14:paraId="633EDC3D" w14:textId="77777777" w:rsidR="003B1D8B" w:rsidRDefault="007560A1" w:rsidP="007560A1">
      <w:pPr>
        <w:jc w:val="both"/>
        <w:rPr>
          <w:rFonts w:ascii="Arial" w:hAnsi="Arial" w:cs="Arial"/>
          <w:bCs/>
          <w:color w:val="000000"/>
          <w:sz w:val="20"/>
          <w:szCs w:val="20"/>
        </w:rPr>
      </w:pPr>
      <w:r w:rsidRPr="00816B14">
        <w:rPr>
          <w:rFonts w:ascii="Arial" w:hAnsi="Arial" w:cs="Arial"/>
          <w:bCs/>
          <w:color w:val="000000"/>
          <w:sz w:val="20"/>
          <w:szCs w:val="20"/>
        </w:rPr>
        <w:t xml:space="preserve">Contractors bidding on FDOT contracts are to have an approved DBE Affirmative Action Plan (FDOT </w:t>
      </w:r>
      <w:r>
        <w:rPr>
          <w:rFonts w:ascii="Arial" w:hAnsi="Arial" w:cs="Arial"/>
          <w:bCs/>
          <w:color w:val="000000"/>
          <w:sz w:val="20"/>
          <w:szCs w:val="20"/>
        </w:rPr>
        <w:t>F</w:t>
      </w:r>
      <w:r w:rsidRPr="00816B14">
        <w:rPr>
          <w:rFonts w:ascii="Arial" w:hAnsi="Arial" w:cs="Arial"/>
          <w:bCs/>
          <w:color w:val="000000"/>
          <w:sz w:val="20"/>
          <w:szCs w:val="20"/>
        </w:rPr>
        <w:t>orm 275-030-11</w:t>
      </w:r>
      <w:r>
        <w:rPr>
          <w:rFonts w:ascii="Arial" w:hAnsi="Arial" w:cs="Arial"/>
          <w:bCs/>
          <w:color w:val="000000"/>
          <w:sz w:val="20"/>
          <w:szCs w:val="20"/>
        </w:rPr>
        <w:t>B</w:t>
      </w:r>
      <w:r w:rsidRPr="00816B14">
        <w:rPr>
          <w:rFonts w:ascii="Arial" w:hAnsi="Arial" w:cs="Arial"/>
          <w:bCs/>
          <w:color w:val="000000"/>
          <w:sz w:val="20"/>
          <w:szCs w:val="20"/>
        </w:rPr>
        <w:t>) on file with the FDOT Equal Opportunity Office before execution of a contract.</w:t>
      </w:r>
      <w:r w:rsidRPr="00816B14">
        <w:rPr>
          <w:rFonts w:ascii="Arial" w:hAnsi="Arial" w:cs="Arial"/>
          <w:sz w:val="20"/>
          <w:szCs w:val="20"/>
        </w:rPr>
        <w:t xml:space="preserve"> DBE/AA Plans must be received with the </w:t>
      </w:r>
      <w:proofErr w:type="gramStart"/>
      <w:r w:rsidRPr="00816B14">
        <w:rPr>
          <w:rFonts w:ascii="Arial" w:hAnsi="Arial" w:cs="Arial"/>
          <w:sz w:val="20"/>
          <w:szCs w:val="20"/>
        </w:rPr>
        <w:t>contractors</w:t>
      </w:r>
      <w:proofErr w:type="gramEnd"/>
      <w:r w:rsidRPr="00816B14">
        <w:rPr>
          <w:rFonts w:ascii="Arial" w:hAnsi="Arial" w:cs="Arial"/>
          <w:sz w:val="20"/>
          <w:szCs w:val="20"/>
        </w:rPr>
        <w:t xml:space="preserve"> bid or received by the Equal Opportunity Office </w:t>
      </w:r>
      <w:r w:rsidRPr="00816B14">
        <w:rPr>
          <w:rFonts w:ascii="Arial" w:hAnsi="Arial" w:cs="Arial"/>
          <w:sz w:val="20"/>
          <w:szCs w:val="20"/>
          <w:u w:val="single"/>
        </w:rPr>
        <w:t>prior to the award</w:t>
      </w:r>
      <w:r w:rsidRPr="00816B14">
        <w:rPr>
          <w:rFonts w:ascii="Arial" w:hAnsi="Arial" w:cs="Arial"/>
          <w:sz w:val="20"/>
          <w:szCs w:val="20"/>
        </w:rPr>
        <w:t xml:space="preserve"> of the contract</w:t>
      </w:r>
      <w:r>
        <w:rPr>
          <w:rFonts w:ascii="Arial" w:hAnsi="Arial" w:cs="Arial"/>
          <w:sz w:val="20"/>
          <w:szCs w:val="20"/>
        </w:rPr>
        <w:t xml:space="preserve">. </w:t>
      </w:r>
      <w:r w:rsidRPr="00816B14">
        <w:rPr>
          <w:rFonts w:ascii="Arial" w:hAnsi="Arial" w:cs="Arial"/>
          <w:bCs/>
          <w:color w:val="000000"/>
          <w:sz w:val="20"/>
          <w:szCs w:val="20"/>
        </w:rPr>
        <w:t xml:space="preserve"> </w:t>
      </w:r>
    </w:p>
    <w:p w14:paraId="7D93EF17" w14:textId="77777777" w:rsidR="003B1D8B" w:rsidRDefault="003B1D8B" w:rsidP="007560A1">
      <w:pPr>
        <w:jc w:val="both"/>
        <w:rPr>
          <w:rFonts w:ascii="Arial" w:hAnsi="Arial" w:cs="Arial"/>
          <w:bCs/>
          <w:color w:val="000000"/>
          <w:sz w:val="20"/>
          <w:szCs w:val="20"/>
        </w:rPr>
      </w:pPr>
    </w:p>
    <w:p w14:paraId="2F484AE1" w14:textId="77777777" w:rsidR="007560A1" w:rsidRDefault="007560A1" w:rsidP="007560A1">
      <w:pPr>
        <w:jc w:val="both"/>
        <w:rPr>
          <w:rFonts w:ascii="Arial" w:hAnsi="Arial" w:cs="Arial"/>
          <w:color w:val="000000"/>
          <w:sz w:val="20"/>
          <w:szCs w:val="20"/>
        </w:rPr>
      </w:pPr>
      <w:r w:rsidRPr="00816B14">
        <w:rPr>
          <w:rFonts w:ascii="Arial" w:hAnsi="Arial" w:cs="Arial"/>
          <w:sz w:val="20"/>
          <w:szCs w:val="20"/>
        </w:rPr>
        <w:t>Plans are approved by the Equal Opportunity Office in accordance with Ch. 14-78, Florida Administrative Code.</w:t>
      </w:r>
      <w:r w:rsidR="003B1D8B">
        <w:rPr>
          <w:rFonts w:ascii="Arial" w:hAnsi="Arial" w:cs="Arial"/>
          <w:sz w:val="20"/>
          <w:szCs w:val="20"/>
        </w:rPr>
        <w:t xml:space="preserve">  </w:t>
      </w:r>
      <w:r w:rsidRPr="00816B14">
        <w:rPr>
          <w:rFonts w:ascii="Arial" w:hAnsi="Arial" w:cs="Arial"/>
          <w:sz w:val="20"/>
          <w:szCs w:val="20"/>
        </w:rPr>
        <w:t xml:space="preserve">Plans that do not meet these mandatory requirements may not be approved.  Approvals are for a (3) </w:t>
      </w:r>
      <w:proofErr w:type="gramStart"/>
      <w:r w:rsidRPr="00816B14">
        <w:rPr>
          <w:rFonts w:ascii="Arial" w:hAnsi="Arial" w:cs="Arial"/>
          <w:sz w:val="20"/>
          <w:szCs w:val="20"/>
        </w:rPr>
        <w:t>three year</w:t>
      </w:r>
      <w:proofErr w:type="gramEnd"/>
      <w:r w:rsidRPr="00816B14">
        <w:rPr>
          <w:rFonts w:ascii="Arial" w:hAnsi="Arial" w:cs="Arial"/>
          <w:sz w:val="20"/>
          <w:szCs w:val="20"/>
        </w:rPr>
        <w:t xml:space="preserve"> period and should be updated at anytime there is a change in the company’s DBE Liaison Officer and/or President.</w:t>
      </w:r>
      <w:r w:rsidR="003B1D8B">
        <w:rPr>
          <w:rFonts w:ascii="Arial" w:hAnsi="Arial" w:cs="Arial"/>
          <w:sz w:val="20"/>
          <w:szCs w:val="20"/>
        </w:rPr>
        <w:t xml:space="preserve">  </w:t>
      </w:r>
      <w:r w:rsidRPr="00816B14">
        <w:rPr>
          <w:rFonts w:ascii="Arial" w:hAnsi="Arial" w:cs="Arial"/>
          <w:color w:val="000000"/>
          <w:sz w:val="20"/>
          <w:szCs w:val="20"/>
        </w:rPr>
        <w:t xml:space="preserve">Contractors may evidence adoption of the DBE/AA Policy and Plan and/or a change in the designated DBE Liaison officer as follows: </w:t>
      </w:r>
    </w:p>
    <w:p w14:paraId="036D6798" w14:textId="77777777" w:rsidR="003B1D8B" w:rsidRPr="00816B14" w:rsidRDefault="003B1D8B" w:rsidP="007560A1">
      <w:pPr>
        <w:jc w:val="both"/>
        <w:rPr>
          <w:rFonts w:ascii="Arial" w:hAnsi="Arial" w:cs="Arial"/>
          <w:color w:val="000000"/>
          <w:sz w:val="20"/>
          <w:szCs w:val="20"/>
        </w:rPr>
      </w:pPr>
    </w:p>
    <w:p w14:paraId="172BDB22" w14:textId="77777777" w:rsidR="00D62B2D" w:rsidRPr="00D62B2D" w:rsidRDefault="00D62B2D" w:rsidP="00D62B2D">
      <w:pPr>
        <w:pStyle w:val="ListParagraph"/>
        <w:numPr>
          <w:ilvl w:val="0"/>
          <w:numId w:val="8"/>
        </w:numPr>
        <w:jc w:val="both"/>
        <w:rPr>
          <w:rFonts w:cs="Arial"/>
          <w:color w:val="000000"/>
          <w:sz w:val="20"/>
          <w:szCs w:val="20"/>
        </w:rPr>
      </w:pPr>
      <w:r w:rsidRPr="00D62B2D">
        <w:rPr>
          <w:rFonts w:cs="Arial"/>
          <w:color w:val="000000"/>
          <w:sz w:val="20"/>
          <w:szCs w:val="20"/>
        </w:rPr>
        <w:t>Print the first page of the document on company stationery (“letterhead”) that indicates the company’s name, mailing address, phone number, etc.</w:t>
      </w:r>
    </w:p>
    <w:p w14:paraId="08826193" w14:textId="77777777" w:rsidR="00D62B2D" w:rsidRPr="00D62B2D" w:rsidRDefault="00D62B2D" w:rsidP="00D62B2D">
      <w:pPr>
        <w:pStyle w:val="ListParagraph"/>
        <w:numPr>
          <w:ilvl w:val="0"/>
          <w:numId w:val="8"/>
        </w:numPr>
        <w:shd w:val="clear" w:color="auto" w:fill="FFFFFF"/>
        <w:jc w:val="both"/>
        <w:rPr>
          <w:rFonts w:cs="Arial"/>
          <w:color w:val="000000"/>
          <w:sz w:val="20"/>
          <w:szCs w:val="20"/>
        </w:rPr>
      </w:pPr>
      <w:r w:rsidRPr="00D62B2D">
        <w:rPr>
          <w:rFonts w:cs="Arial"/>
          <w:color w:val="000000"/>
          <w:sz w:val="20"/>
          <w:szCs w:val="20"/>
        </w:rPr>
        <w:t>Print the company’s name in the “___” space; next to “Date” print the month/day/year the policy is being signed; record the signature of the company’s Chief Executive Officer, President or Chairperson in the space next to “by” and print the full first and last name and position title of the official signing the policy.</w:t>
      </w:r>
    </w:p>
    <w:p w14:paraId="0CE5FD0D" w14:textId="77777777" w:rsidR="00D62B2D" w:rsidRPr="00D62B2D" w:rsidRDefault="00D62B2D" w:rsidP="00D62B2D">
      <w:pPr>
        <w:pStyle w:val="ListParagraph"/>
        <w:numPr>
          <w:ilvl w:val="0"/>
          <w:numId w:val="9"/>
        </w:numPr>
        <w:shd w:val="clear" w:color="auto" w:fill="FFFFFF"/>
        <w:rPr>
          <w:rFonts w:cs="Arial"/>
          <w:color w:val="000000"/>
          <w:sz w:val="20"/>
          <w:szCs w:val="20"/>
        </w:rPr>
      </w:pPr>
      <w:r w:rsidRPr="00D62B2D">
        <w:rPr>
          <w:rFonts w:cs="Arial"/>
          <w:color w:val="000000"/>
          <w:sz w:val="20"/>
          <w:szCs w:val="20"/>
        </w:rPr>
        <w:t xml:space="preserve">Print the DBE Liaison’s full name, email address, business mailing address and phone </w:t>
      </w:r>
      <w:proofErr w:type="gramStart"/>
      <w:r w:rsidRPr="00D62B2D">
        <w:rPr>
          <w:rFonts w:cs="Arial"/>
          <w:color w:val="000000"/>
          <w:sz w:val="20"/>
          <w:szCs w:val="20"/>
        </w:rPr>
        <w:t>number</w:t>
      </w:r>
      <w:proofErr w:type="gramEnd"/>
      <w:r w:rsidRPr="00D62B2D">
        <w:rPr>
          <w:rFonts w:cs="Arial"/>
          <w:color w:val="000000"/>
          <w:sz w:val="20"/>
          <w:szCs w:val="20"/>
        </w:rPr>
        <w:t xml:space="preserve"> the</w:t>
      </w:r>
      <w:r w:rsidRPr="00D62B2D">
        <w:rPr>
          <w:rFonts w:cs="Arial"/>
        </w:rPr>
        <w:t xml:space="preserve"> </w:t>
      </w:r>
      <w:r w:rsidRPr="00D62B2D">
        <w:rPr>
          <w:rFonts w:cs="Arial"/>
          <w:color w:val="000000"/>
          <w:sz w:val="20"/>
          <w:szCs w:val="20"/>
        </w:rPr>
        <w:t>bottom of email.</w:t>
      </w:r>
    </w:p>
    <w:p w14:paraId="6E299B7C" w14:textId="77777777" w:rsidR="003B1D8B" w:rsidRPr="003B1D8B" w:rsidRDefault="003B1D8B" w:rsidP="003B1D8B">
      <w:pPr>
        <w:pStyle w:val="ListParagraph"/>
        <w:tabs>
          <w:tab w:val="left" w:pos="720"/>
        </w:tabs>
        <w:jc w:val="both"/>
        <w:rPr>
          <w:rFonts w:cs="Arial"/>
          <w:color w:val="000000"/>
          <w:sz w:val="20"/>
          <w:szCs w:val="20"/>
        </w:rPr>
      </w:pPr>
    </w:p>
    <w:p w14:paraId="4D3ED3FD" w14:textId="77777777" w:rsidR="007560A1" w:rsidRDefault="007560A1" w:rsidP="007560A1">
      <w:pPr>
        <w:rPr>
          <w:rFonts w:cs="Arial"/>
          <w:b/>
          <w:color w:val="000000"/>
        </w:rPr>
      </w:pPr>
      <w:r w:rsidRPr="00816B14">
        <w:rPr>
          <w:rFonts w:ascii="Arial" w:hAnsi="Arial" w:cs="Arial"/>
          <w:color w:val="000000"/>
          <w:sz w:val="20"/>
          <w:szCs w:val="20"/>
        </w:rPr>
        <w:t>E-mail the completed and signed DBE AA Plan to</w:t>
      </w:r>
      <w:r w:rsidRPr="0047513B">
        <w:rPr>
          <w:rFonts w:cs="Arial"/>
          <w:color w:val="000000"/>
          <w:sz w:val="20"/>
          <w:szCs w:val="20"/>
        </w:rPr>
        <w:t>:</w:t>
      </w:r>
      <w:r w:rsidR="00F03B13">
        <w:rPr>
          <w:rFonts w:cs="Arial"/>
          <w:color w:val="000000"/>
          <w:sz w:val="20"/>
          <w:szCs w:val="20"/>
        </w:rPr>
        <w:t xml:space="preserve">  </w:t>
      </w:r>
      <w:r w:rsidRPr="0047513B">
        <w:rPr>
          <w:rFonts w:cs="Arial"/>
          <w:b/>
          <w:color w:val="000000"/>
        </w:rPr>
        <w:t xml:space="preserve">eeoforms@dot.state.fl.us. </w:t>
      </w:r>
    </w:p>
    <w:p w14:paraId="7E577922" w14:textId="77777777" w:rsidR="003B1D8B" w:rsidRDefault="003B1D8B" w:rsidP="007560A1">
      <w:pPr>
        <w:rPr>
          <w:rFonts w:cs="Arial"/>
          <w:b/>
          <w:color w:val="000000"/>
        </w:rPr>
      </w:pPr>
    </w:p>
    <w:p w14:paraId="7CCF0097" w14:textId="77777777" w:rsidR="00C075C3" w:rsidRPr="003B1D8B" w:rsidRDefault="007560A1" w:rsidP="003B1D8B">
      <w:pPr>
        <w:rPr>
          <w:rFonts w:ascii="Arial" w:hAnsi="Arial" w:cs="Arial"/>
          <w:b/>
          <w:bCs/>
          <w:color w:val="000000"/>
          <w:sz w:val="20"/>
          <w:szCs w:val="20"/>
        </w:rPr>
      </w:pPr>
      <w:r w:rsidRPr="00816B14">
        <w:rPr>
          <w:rFonts w:ascii="Arial" w:hAnsi="Arial" w:cs="Arial"/>
          <w:color w:val="000000"/>
          <w:sz w:val="20"/>
          <w:szCs w:val="20"/>
        </w:rPr>
        <w:t>The Department will review the policy, update department records and issue a notification of approval or disapproval; a copy of the submitted plan will not be returned to the contractor.</w:t>
      </w:r>
    </w:p>
    <w:sectPr w:rsidR="00C075C3" w:rsidRPr="003B1D8B" w:rsidSect="003B1D8B">
      <w:headerReference w:type="default" r:id="rId13"/>
      <w:pgSz w:w="12240" w:h="15840"/>
      <w:pgMar w:top="720"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691AA" w14:textId="77777777" w:rsidR="003D2D17" w:rsidRDefault="003D2D17">
      <w:r>
        <w:separator/>
      </w:r>
    </w:p>
  </w:endnote>
  <w:endnote w:type="continuationSeparator" w:id="0">
    <w:p w14:paraId="74596D76" w14:textId="77777777" w:rsidR="003D2D17" w:rsidRDefault="003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688C8" w14:textId="77777777" w:rsidR="003D2D17" w:rsidRDefault="003D2D17">
      <w:r>
        <w:separator/>
      </w:r>
    </w:p>
  </w:footnote>
  <w:footnote w:type="continuationSeparator" w:id="0">
    <w:p w14:paraId="7ED6EFF2" w14:textId="77777777" w:rsidR="003D2D17" w:rsidRDefault="003D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8" w:type="dxa"/>
      <w:tblLook w:val="01E0" w:firstRow="1" w:lastRow="1" w:firstColumn="1" w:lastColumn="1" w:noHBand="0" w:noVBand="0"/>
    </w:tblPr>
    <w:tblGrid>
      <w:gridCol w:w="1908"/>
      <w:gridCol w:w="5490"/>
      <w:gridCol w:w="2070"/>
    </w:tblGrid>
    <w:tr w:rsidR="00F03B13" w:rsidRPr="00C13174" w14:paraId="5C3BF9CD" w14:textId="77777777" w:rsidTr="003B1D8B">
      <w:tc>
        <w:tcPr>
          <w:tcW w:w="1908" w:type="dxa"/>
        </w:tcPr>
        <w:p w14:paraId="33BF64CE" w14:textId="77777777" w:rsidR="00F03B13" w:rsidRPr="00C13174" w:rsidRDefault="00F03B13" w:rsidP="00C13174">
          <w:pPr>
            <w:tabs>
              <w:tab w:val="left" w:pos="3179"/>
              <w:tab w:val="left" w:pos="6732"/>
            </w:tabs>
            <w:rPr>
              <w:rFonts w:ascii="Arial" w:hAnsi="Arial" w:cs="Arial"/>
              <w:sz w:val="20"/>
              <w:szCs w:val="20"/>
            </w:rPr>
          </w:pPr>
        </w:p>
      </w:tc>
      <w:tc>
        <w:tcPr>
          <w:tcW w:w="5490" w:type="dxa"/>
        </w:tcPr>
        <w:p w14:paraId="508AFF69" w14:textId="77777777" w:rsidR="00F03B13" w:rsidRPr="00286260" w:rsidRDefault="00F03B13" w:rsidP="00100B50">
          <w:pPr>
            <w:tabs>
              <w:tab w:val="left" w:pos="3179"/>
              <w:tab w:val="left" w:pos="6732"/>
            </w:tabs>
            <w:jc w:val="center"/>
            <w:rPr>
              <w:rFonts w:ascii="Arial" w:hAnsi="Arial" w:cs="Arial"/>
              <w:sz w:val="12"/>
              <w:szCs w:val="12"/>
            </w:rPr>
          </w:pPr>
          <w:r w:rsidRPr="00286260">
            <w:rPr>
              <w:rFonts w:ascii="Arial" w:hAnsi="Arial" w:cs="Arial"/>
              <w:sz w:val="12"/>
              <w:szCs w:val="12"/>
            </w:rPr>
            <w:t xml:space="preserve">STATE OF </w:t>
          </w:r>
          <w:smartTag w:uri="urn:schemas-microsoft-com:office:smarttags" w:element="place">
            <w:smartTag w:uri="urn:schemas-microsoft-com:office:smarttags" w:element="State">
              <w:r w:rsidRPr="00286260">
                <w:rPr>
                  <w:rFonts w:ascii="Arial" w:hAnsi="Arial" w:cs="Arial"/>
                  <w:sz w:val="12"/>
                  <w:szCs w:val="12"/>
                </w:rPr>
                <w:t>FLORIDA</w:t>
              </w:r>
            </w:smartTag>
          </w:smartTag>
          <w:r w:rsidRPr="00286260">
            <w:rPr>
              <w:rFonts w:ascii="Arial" w:hAnsi="Arial" w:cs="Arial"/>
              <w:sz w:val="12"/>
              <w:szCs w:val="12"/>
            </w:rPr>
            <w:t xml:space="preserve"> DEPARTMENT OF TRANSPORTATION</w:t>
          </w:r>
        </w:p>
        <w:p w14:paraId="7F755168" w14:textId="77777777" w:rsidR="00F03B13" w:rsidRPr="00F03B13" w:rsidRDefault="00F03B13" w:rsidP="00100B50">
          <w:pPr>
            <w:tabs>
              <w:tab w:val="left" w:pos="3179"/>
              <w:tab w:val="left" w:pos="6732"/>
            </w:tabs>
            <w:jc w:val="center"/>
            <w:rPr>
              <w:rFonts w:ascii="Arial" w:hAnsi="Arial" w:cs="Arial"/>
              <w:b/>
              <w:u w:val="single"/>
            </w:rPr>
          </w:pPr>
          <w:r w:rsidRPr="00F03B13">
            <w:rPr>
              <w:rFonts w:ascii="Arial" w:hAnsi="Arial" w:cs="Arial"/>
              <w:b/>
            </w:rPr>
            <w:t>DBE BID PACKAGE INFORMATION</w:t>
          </w:r>
        </w:p>
      </w:tc>
      <w:tc>
        <w:tcPr>
          <w:tcW w:w="2070" w:type="dxa"/>
        </w:tcPr>
        <w:p w14:paraId="52C1030F" w14:textId="77777777" w:rsidR="00F03B13" w:rsidRPr="00C13174" w:rsidRDefault="00F03B13" w:rsidP="007560A1">
          <w:pPr>
            <w:tabs>
              <w:tab w:val="left" w:pos="3179"/>
              <w:tab w:val="left" w:pos="6732"/>
            </w:tabs>
            <w:jc w:val="right"/>
            <w:rPr>
              <w:rFonts w:ascii="Arial" w:hAnsi="Arial" w:cs="Arial"/>
              <w:sz w:val="12"/>
              <w:szCs w:val="12"/>
            </w:rPr>
          </w:pPr>
          <w:r w:rsidRPr="00C13174">
            <w:rPr>
              <w:rFonts w:ascii="Arial" w:hAnsi="Arial" w:cs="Arial"/>
              <w:sz w:val="12"/>
              <w:szCs w:val="12"/>
            </w:rPr>
            <w:t>275-030-11</w:t>
          </w:r>
        </w:p>
        <w:p w14:paraId="519F2F17" w14:textId="77777777" w:rsidR="00F03B13" w:rsidRPr="00C13174" w:rsidRDefault="00F03B13" w:rsidP="007560A1">
          <w:pPr>
            <w:tabs>
              <w:tab w:val="left" w:pos="3179"/>
              <w:tab w:val="left" w:pos="6732"/>
            </w:tabs>
            <w:jc w:val="right"/>
            <w:rPr>
              <w:rFonts w:ascii="Arial" w:hAnsi="Arial" w:cs="Arial"/>
              <w:sz w:val="12"/>
              <w:szCs w:val="12"/>
            </w:rPr>
          </w:pPr>
          <w:r w:rsidRPr="00C13174">
            <w:rPr>
              <w:rFonts w:ascii="Arial" w:hAnsi="Arial" w:cs="Arial"/>
              <w:sz w:val="12"/>
              <w:szCs w:val="12"/>
            </w:rPr>
            <w:t>EQUAL OPPORTUNITY OFFICE</w:t>
          </w:r>
        </w:p>
        <w:p w14:paraId="62DE5A9F" w14:textId="0A6F0FC6" w:rsidR="00F03B13" w:rsidRPr="00C13174" w:rsidRDefault="004E6D56" w:rsidP="007560A1">
          <w:pPr>
            <w:tabs>
              <w:tab w:val="left" w:pos="3179"/>
              <w:tab w:val="left" w:pos="6732"/>
            </w:tabs>
            <w:jc w:val="right"/>
            <w:rPr>
              <w:rFonts w:ascii="Arial" w:hAnsi="Arial" w:cs="Arial"/>
              <w:sz w:val="12"/>
              <w:szCs w:val="12"/>
            </w:rPr>
          </w:pPr>
          <w:r>
            <w:rPr>
              <w:rFonts w:ascii="Arial" w:hAnsi="Arial" w:cs="Arial"/>
              <w:sz w:val="12"/>
              <w:szCs w:val="12"/>
            </w:rPr>
            <w:t xml:space="preserve"> </w:t>
          </w:r>
          <w:r w:rsidR="000708E7">
            <w:rPr>
              <w:rFonts w:ascii="Arial" w:hAnsi="Arial" w:cs="Arial"/>
              <w:sz w:val="12"/>
              <w:szCs w:val="12"/>
            </w:rPr>
            <w:t>0</w:t>
          </w:r>
          <w:r w:rsidR="00FD7ECE">
            <w:rPr>
              <w:rFonts w:ascii="Arial" w:hAnsi="Arial" w:cs="Arial"/>
              <w:sz w:val="12"/>
              <w:szCs w:val="12"/>
            </w:rPr>
            <w:t>7</w:t>
          </w:r>
          <w:r w:rsidR="000708E7">
            <w:rPr>
              <w:rFonts w:ascii="Arial" w:hAnsi="Arial" w:cs="Arial"/>
              <w:sz w:val="12"/>
              <w:szCs w:val="12"/>
            </w:rPr>
            <w:t>/24</w:t>
          </w:r>
        </w:p>
        <w:p w14:paraId="07477ABB" w14:textId="77777777" w:rsidR="00F03B13" w:rsidRPr="00C13174" w:rsidRDefault="00F03B13" w:rsidP="007560A1">
          <w:pPr>
            <w:tabs>
              <w:tab w:val="left" w:pos="3179"/>
              <w:tab w:val="left" w:pos="6732"/>
            </w:tabs>
            <w:jc w:val="right"/>
            <w:rPr>
              <w:rFonts w:ascii="Arial" w:hAnsi="Arial" w:cs="Arial"/>
              <w:sz w:val="16"/>
              <w:szCs w:val="16"/>
            </w:rPr>
          </w:pPr>
          <w:r w:rsidRPr="00C13174">
            <w:rPr>
              <w:rFonts w:ascii="Arial" w:hAnsi="Arial" w:cs="Arial"/>
              <w:sz w:val="12"/>
              <w:szCs w:val="12"/>
            </w:rPr>
            <w:t xml:space="preserve">Page </w:t>
          </w:r>
          <w:r w:rsidRPr="00C13174">
            <w:rPr>
              <w:rFonts w:ascii="Arial" w:hAnsi="Arial" w:cs="Arial"/>
              <w:sz w:val="12"/>
              <w:szCs w:val="12"/>
            </w:rPr>
            <w:fldChar w:fldCharType="begin"/>
          </w:r>
          <w:r w:rsidRPr="00C13174">
            <w:rPr>
              <w:rFonts w:ascii="Arial" w:hAnsi="Arial" w:cs="Arial"/>
              <w:sz w:val="12"/>
              <w:szCs w:val="12"/>
            </w:rPr>
            <w:instrText xml:space="preserve"> PAGE </w:instrText>
          </w:r>
          <w:r w:rsidRPr="00C13174">
            <w:rPr>
              <w:rFonts w:ascii="Arial" w:hAnsi="Arial" w:cs="Arial"/>
              <w:sz w:val="12"/>
              <w:szCs w:val="12"/>
            </w:rPr>
            <w:fldChar w:fldCharType="separate"/>
          </w:r>
          <w:r w:rsidR="00486FDC">
            <w:rPr>
              <w:rFonts w:ascii="Arial" w:hAnsi="Arial" w:cs="Arial"/>
              <w:noProof/>
              <w:sz w:val="12"/>
              <w:szCs w:val="12"/>
            </w:rPr>
            <w:t>2</w:t>
          </w:r>
          <w:r w:rsidRPr="00C13174">
            <w:rPr>
              <w:rFonts w:ascii="Arial" w:hAnsi="Arial" w:cs="Arial"/>
              <w:sz w:val="12"/>
              <w:szCs w:val="12"/>
            </w:rPr>
            <w:fldChar w:fldCharType="end"/>
          </w:r>
          <w:r w:rsidRPr="00C13174">
            <w:rPr>
              <w:rFonts w:ascii="Arial" w:hAnsi="Arial" w:cs="Arial"/>
              <w:sz w:val="12"/>
              <w:szCs w:val="12"/>
            </w:rPr>
            <w:t xml:space="preserve"> of </w:t>
          </w:r>
          <w:r w:rsidRPr="00C13174">
            <w:rPr>
              <w:rFonts w:ascii="Arial" w:hAnsi="Arial" w:cs="Arial"/>
              <w:sz w:val="12"/>
              <w:szCs w:val="12"/>
            </w:rPr>
            <w:fldChar w:fldCharType="begin"/>
          </w:r>
          <w:r w:rsidRPr="00C13174">
            <w:rPr>
              <w:rFonts w:ascii="Arial" w:hAnsi="Arial" w:cs="Arial"/>
              <w:sz w:val="12"/>
              <w:szCs w:val="12"/>
            </w:rPr>
            <w:instrText xml:space="preserve"> NUMPAGES </w:instrText>
          </w:r>
          <w:r w:rsidRPr="00C13174">
            <w:rPr>
              <w:rFonts w:ascii="Arial" w:hAnsi="Arial" w:cs="Arial"/>
              <w:sz w:val="12"/>
              <w:szCs w:val="12"/>
            </w:rPr>
            <w:fldChar w:fldCharType="separate"/>
          </w:r>
          <w:r w:rsidR="00486FDC">
            <w:rPr>
              <w:rFonts w:ascii="Arial" w:hAnsi="Arial" w:cs="Arial"/>
              <w:noProof/>
              <w:sz w:val="12"/>
              <w:szCs w:val="12"/>
            </w:rPr>
            <w:t>2</w:t>
          </w:r>
          <w:r w:rsidRPr="00C13174">
            <w:rPr>
              <w:rFonts w:ascii="Arial" w:hAnsi="Arial" w:cs="Arial"/>
              <w:sz w:val="12"/>
              <w:szCs w:val="12"/>
            </w:rPr>
            <w:fldChar w:fldCharType="end"/>
          </w:r>
        </w:p>
      </w:tc>
    </w:tr>
  </w:tbl>
  <w:p w14:paraId="03EB0B36" w14:textId="77777777" w:rsidR="00F03B13" w:rsidRPr="00854527" w:rsidRDefault="00F03B1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2B7"/>
    <w:multiLevelType w:val="hybridMultilevel"/>
    <w:tmpl w:val="40EAD9C0"/>
    <w:lvl w:ilvl="0" w:tplc="723623D6">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554D3"/>
    <w:multiLevelType w:val="hybridMultilevel"/>
    <w:tmpl w:val="EA04261A"/>
    <w:lvl w:ilvl="0" w:tplc="C21AF9E2">
      <w:start w:val="1"/>
      <w:numFmt w:val="decimal"/>
      <w:lvlText w:val="%1."/>
      <w:lvlJc w:val="left"/>
      <w:pPr>
        <w:tabs>
          <w:tab w:val="num" w:pos="1295"/>
        </w:tabs>
        <w:ind w:left="1295" w:hanging="360"/>
      </w:pPr>
      <w:rPr>
        <w:rFonts w:hint="default"/>
      </w:rPr>
    </w:lvl>
    <w:lvl w:ilvl="1" w:tplc="04090019" w:tentative="1">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2" w15:restartNumberingAfterBreak="0">
    <w:nsid w:val="258769BD"/>
    <w:multiLevelType w:val="hybridMultilevel"/>
    <w:tmpl w:val="6AEC7B72"/>
    <w:lvl w:ilvl="0" w:tplc="68B0A69E">
      <w:start w:val="1"/>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3F6DE3"/>
    <w:multiLevelType w:val="hybridMultilevel"/>
    <w:tmpl w:val="D4C42470"/>
    <w:lvl w:ilvl="0" w:tplc="4990AB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B560794"/>
    <w:multiLevelType w:val="hybridMultilevel"/>
    <w:tmpl w:val="BFAC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F6819"/>
    <w:multiLevelType w:val="hybridMultilevel"/>
    <w:tmpl w:val="9098A7D4"/>
    <w:lvl w:ilvl="0" w:tplc="81A281FE">
      <w:start w:val="1"/>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265BE0"/>
    <w:multiLevelType w:val="multilevel"/>
    <w:tmpl w:val="40EAD9C0"/>
    <w:lvl w:ilvl="0">
      <w:start w:val="2"/>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4CA6A24"/>
    <w:multiLevelType w:val="hybridMultilevel"/>
    <w:tmpl w:val="1828376A"/>
    <w:lvl w:ilvl="0" w:tplc="316E9CFC">
      <w:start w:val="1"/>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8" w15:restartNumberingAfterBreak="0">
    <w:nsid w:val="726D0EDB"/>
    <w:multiLevelType w:val="hybridMultilevel"/>
    <w:tmpl w:val="9CF6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127744">
    <w:abstractNumId w:val="5"/>
  </w:num>
  <w:num w:numId="2" w16cid:durableId="975337807">
    <w:abstractNumId w:val="2"/>
  </w:num>
  <w:num w:numId="3" w16cid:durableId="652639101">
    <w:abstractNumId w:val="1"/>
  </w:num>
  <w:num w:numId="4" w16cid:durableId="1207372102">
    <w:abstractNumId w:val="0"/>
  </w:num>
  <w:num w:numId="5" w16cid:durableId="1730032427">
    <w:abstractNumId w:val="6"/>
  </w:num>
  <w:num w:numId="6" w16cid:durableId="1055861018">
    <w:abstractNumId w:val="7"/>
  </w:num>
  <w:num w:numId="7" w16cid:durableId="266432351">
    <w:abstractNumId w:val="3"/>
  </w:num>
  <w:num w:numId="8" w16cid:durableId="1883862355">
    <w:abstractNumId w:val="8"/>
  </w:num>
  <w:num w:numId="9" w16cid:durableId="1233735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4JivZAivOWsh2mVF5o43BrjF771/iQtPatIDJT/5zCToXZfkOmAgEmmBDv8kVVsbjpDkRNjclFKCVsCr6w1Iw==" w:salt="FKSN4Cs4uZ6iruImMMmQHw=="/>
  <w:defaultTabStop w:val="720"/>
  <w:drawingGridHorizontalSpacing w:val="187"/>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YwsLQ0s7AwNjAzMbBU0lEKTi0uzszPAykwrAUA/EJkZCwAAAA="/>
  </w:docVars>
  <w:rsids>
    <w:rsidRoot w:val="00C8509F"/>
    <w:rsid w:val="00016D4A"/>
    <w:rsid w:val="00035EE4"/>
    <w:rsid w:val="000708E7"/>
    <w:rsid w:val="000B277A"/>
    <w:rsid w:val="000D7AB2"/>
    <w:rsid w:val="000F4583"/>
    <w:rsid w:val="000F7144"/>
    <w:rsid w:val="00100B50"/>
    <w:rsid w:val="00104125"/>
    <w:rsid w:val="00125570"/>
    <w:rsid w:val="00135791"/>
    <w:rsid w:val="00140FEE"/>
    <w:rsid w:val="001454FC"/>
    <w:rsid w:val="0015420A"/>
    <w:rsid w:val="001575AC"/>
    <w:rsid w:val="00192403"/>
    <w:rsid w:val="001A4333"/>
    <w:rsid w:val="001C1CB9"/>
    <w:rsid w:val="001E098B"/>
    <w:rsid w:val="001F7BDE"/>
    <w:rsid w:val="00246CBC"/>
    <w:rsid w:val="00262E97"/>
    <w:rsid w:val="00264AF5"/>
    <w:rsid w:val="00265FBB"/>
    <w:rsid w:val="002677BF"/>
    <w:rsid w:val="002709F5"/>
    <w:rsid w:val="0027581B"/>
    <w:rsid w:val="00277187"/>
    <w:rsid w:val="00280AB8"/>
    <w:rsid w:val="00290592"/>
    <w:rsid w:val="00291DF6"/>
    <w:rsid w:val="002A0A28"/>
    <w:rsid w:val="002A763D"/>
    <w:rsid w:val="002C089D"/>
    <w:rsid w:val="002D2D3E"/>
    <w:rsid w:val="002F4DB8"/>
    <w:rsid w:val="00301B83"/>
    <w:rsid w:val="00304662"/>
    <w:rsid w:val="0033782C"/>
    <w:rsid w:val="00344F71"/>
    <w:rsid w:val="0036424D"/>
    <w:rsid w:val="003804E9"/>
    <w:rsid w:val="003B1D8B"/>
    <w:rsid w:val="003C2F19"/>
    <w:rsid w:val="003D2D17"/>
    <w:rsid w:val="003F5C1B"/>
    <w:rsid w:val="00447B60"/>
    <w:rsid w:val="00481F86"/>
    <w:rsid w:val="00485ED4"/>
    <w:rsid w:val="00486FDC"/>
    <w:rsid w:val="004A6462"/>
    <w:rsid w:val="004A74F0"/>
    <w:rsid w:val="004B18AE"/>
    <w:rsid w:val="004D3DC8"/>
    <w:rsid w:val="004D7D86"/>
    <w:rsid w:val="004E6D56"/>
    <w:rsid w:val="00510D20"/>
    <w:rsid w:val="0053452B"/>
    <w:rsid w:val="00565866"/>
    <w:rsid w:val="0058332E"/>
    <w:rsid w:val="00592064"/>
    <w:rsid w:val="005B7ADE"/>
    <w:rsid w:val="005E2360"/>
    <w:rsid w:val="006158EC"/>
    <w:rsid w:val="006320D7"/>
    <w:rsid w:val="0064121D"/>
    <w:rsid w:val="006507FF"/>
    <w:rsid w:val="00650ACA"/>
    <w:rsid w:val="00654CAF"/>
    <w:rsid w:val="00670ECB"/>
    <w:rsid w:val="00673119"/>
    <w:rsid w:val="006810F9"/>
    <w:rsid w:val="006976BD"/>
    <w:rsid w:val="006A7C38"/>
    <w:rsid w:val="006B6723"/>
    <w:rsid w:val="006C6952"/>
    <w:rsid w:val="00703AD0"/>
    <w:rsid w:val="007131FA"/>
    <w:rsid w:val="007146B7"/>
    <w:rsid w:val="007204F5"/>
    <w:rsid w:val="00730348"/>
    <w:rsid w:val="00754810"/>
    <w:rsid w:val="007560A1"/>
    <w:rsid w:val="007A7629"/>
    <w:rsid w:val="007B4B19"/>
    <w:rsid w:val="007D0F4B"/>
    <w:rsid w:val="007D54DA"/>
    <w:rsid w:val="007D5DEF"/>
    <w:rsid w:val="00815EAE"/>
    <w:rsid w:val="00822813"/>
    <w:rsid w:val="008244B6"/>
    <w:rsid w:val="00824ADB"/>
    <w:rsid w:val="00851569"/>
    <w:rsid w:val="00854527"/>
    <w:rsid w:val="00881E9A"/>
    <w:rsid w:val="0088598C"/>
    <w:rsid w:val="008E1FB3"/>
    <w:rsid w:val="00926E2A"/>
    <w:rsid w:val="00933AF5"/>
    <w:rsid w:val="00953A56"/>
    <w:rsid w:val="009712A6"/>
    <w:rsid w:val="009967BE"/>
    <w:rsid w:val="009B04CB"/>
    <w:rsid w:val="009B22D9"/>
    <w:rsid w:val="009C1AD7"/>
    <w:rsid w:val="009D2BA1"/>
    <w:rsid w:val="009F0A1B"/>
    <w:rsid w:val="009F2A12"/>
    <w:rsid w:val="00A27C27"/>
    <w:rsid w:val="00A530F1"/>
    <w:rsid w:val="00A803C8"/>
    <w:rsid w:val="00A87C1B"/>
    <w:rsid w:val="00A9128F"/>
    <w:rsid w:val="00AA130F"/>
    <w:rsid w:val="00AB3B20"/>
    <w:rsid w:val="00AF1518"/>
    <w:rsid w:val="00B218E3"/>
    <w:rsid w:val="00B40AE6"/>
    <w:rsid w:val="00B827AC"/>
    <w:rsid w:val="00B91AC8"/>
    <w:rsid w:val="00BA72C5"/>
    <w:rsid w:val="00BE7663"/>
    <w:rsid w:val="00BE7F41"/>
    <w:rsid w:val="00C075C3"/>
    <w:rsid w:val="00C13174"/>
    <w:rsid w:val="00C412B6"/>
    <w:rsid w:val="00C4531F"/>
    <w:rsid w:val="00C460DE"/>
    <w:rsid w:val="00C6092E"/>
    <w:rsid w:val="00C8509F"/>
    <w:rsid w:val="00D07B10"/>
    <w:rsid w:val="00D14924"/>
    <w:rsid w:val="00D62B2D"/>
    <w:rsid w:val="00D7738F"/>
    <w:rsid w:val="00D822F6"/>
    <w:rsid w:val="00DA693D"/>
    <w:rsid w:val="00DA7B49"/>
    <w:rsid w:val="00DF479A"/>
    <w:rsid w:val="00E16834"/>
    <w:rsid w:val="00E4194E"/>
    <w:rsid w:val="00E60560"/>
    <w:rsid w:val="00E73FCF"/>
    <w:rsid w:val="00E76D21"/>
    <w:rsid w:val="00E80A1F"/>
    <w:rsid w:val="00E95F70"/>
    <w:rsid w:val="00EA34E4"/>
    <w:rsid w:val="00EA6BC7"/>
    <w:rsid w:val="00EE5A0E"/>
    <w:rsid w:val="00F00910"/>
    <w:rsid w:val="00F03B13"/>
    <w:rsid w:val="00F1454D"/>
    <w:rsid w:val="00F223C5"/>
    <w:rsid w:val="00F24E5B"/>
    <w:rsid w:val="00F30D71"/>
    <w:rsid w:val="00F61ED5"/>
    <w:rsid w:val="00F62B1D"/>
    <w:rsid w:val="00F80772"/>
    <w:rsid w:val="00F85985"/>
    <w:rsid w:val="00F875B9"/>
    <w:rsid w:val="00F90F34"/>
    <w:rsid w:val="00FD59E3"/>
    <w:rsid w:val="00FD7ECE"/>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313"/>
    <o:shapelayout v:ext="edit">
      <o:idmap v:ext="edit" data="1"/>
    </o:shapelayout>
  </w:shapeDefaults>
  <w:decimalSymbol w:val="."/>
  <w:listSeparator w:val=","/>
  <w14:docId w14:val="4DD51611"/>
  <w15:chartTrackingRefBased/>
  <w15:docId w15:val="{A3993FA0-7D34-4F26-A477-384C80FF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5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60A1"/>
    <w:rPr>
      <w:color w:val="0000FF"/>
      <w:u w:val="single"/>
    </w:rPr>
  </w:style>
  <w:style w:type="paragraph" w:styleId="ListParagraph">
    <w:name w:val="List Paragraph"/>
    <w:basedOn w:val="Normal"/>
    <w:uiPriority w:val="34"/>
    <w:qFormat/>
    <w:rsid w:val="007560A1"/>
    <w:pPr>
      <w:ind w:left="720"/>
      <w:contextualSpacing/>
    </w:pPr>
    <w:rPr>
      <w:rFonts w:ascii="Arial" w:hAnsi="Arial"/>
      <w:sz w:val="22"/>
    </w:rPr>
  </w:style>
  <w:style w:type="character" w:styleId="FollowedHyperlink">
    <w:name w:val="FollowedHyperlink"/>
    <w:rsid w:val="007560A1"/>
    <w:rPr>
      <w:color w:val="800080"/>
      <w:u w:val="single"/>
    </w:rPr>
  </w:style>
  <w:style w:type="character" w:styleId="UnresolvedMention">
    <w:name w:val="Unresolved Mention"/>
    <w:uiPriority w:val="99"/>
    <w:semiHidden/>
    <w:unhideWhenUsed/>
    <w:rsid w:val="00A803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fdot.gov/equalopportunity/eoc.s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8CA39-1F6B-4577-948C-7DFF9E9BD527}">
  <ds:schemaRefs>
    <ds:schemaRef ds:uri="http://schemas.microsoft.com/sharepoint/v3/contenttype/forms"/>
  </ds:schemaRefs>
</ds:datastoreItem>
</file>

<file path=customXml/itemProps2.xml><?xml version="1.0" encoding="utf-8"?>
<ds:datastoreItem xmlns:ds="http://schemas.openxmlformats.org/officeDocument/2006/customXml" ds:itemID="{515B4433-F49F-4944-9493-6B1BE3EF8BD3}">
  <ds:schemaRefs>
    <ds:schemaRef ds:uri="http://schemas.openxmlformats.org/officeDocument/2006/bibliography"/>
  </ds:schemaRefs>
</ds:datastoreItem>
</file>

<file path=customXml/itemProps3.xml><?xml version="1.0" encoding="utf-8"?>
<ds:datastoreItem xmlns:ds="http://schemas.openxmlformats.org/officeDocument/2006/customXml" ds:itemID="{1A3980ED-E286-46B2-91DD-DE68B9D5E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AD0FBE-F083-40B6-B91A-4401C088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4589</CharactersWithSpaces>
  <SharedDoc>false</SharedDoc>
  <HLinks>
    <vt:vector size="6" baseType="variant">
      <vt:variant>
        <vt:i4>3080254</vt:i4>
      </vt:variant>
      <vt:variant>
        <vt:i4>0</vt:i4>
      </vt:variant>
      <vt:variant>
        <vt:i4>0</vt:i4>
      </vt:variant>
      <vt:variant>
        <vt:i4>5</vt:i4>
      </vt:variant>
      <vt:variant>
        <vt:lpwstr>https://www.fdot.gov/equalopportunity/eoc.shtm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cp:lastModifiedBy>Parry, Stephanie</cp:lastModifiedBy>
  <cp:revision>4</cp:revision>
  <cp:lastPrinted>2017-10-03T17:52:00Z</cp:lastPrinted>
  <dcterms:created xsi:type="dcterms:W3CDTF">2024-06-26T15:03:00Z</dcterms:created>
  <dcterms:modified xsi:type="dcterms:W3CDTF">2024-07-10T15:19:00Z</dcterms:modified>
</cp:coreProperties>
</file>